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D8B9" w14:textId="77777777" w:rsidR="001D01DD" w:rsidRPr="00B22B8E" w:rsidRDefault="001D01DD" w:rsidP="00D45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B8E">
        <w:rPr>
          <w:rFonts w:ascii="Times New Roman" w:hAnsi="Times New Roman" w:cs="Times New Roman"/>
          <w:sz w:val="24"/>
          <w:szCs w:val="24"/>
        </w:rPr>
        <w:t>NOTICE</w:t>
      </w:r>
    </w:p>
    <w:p w14:paraId="6596E056" w14:textId="19D15ADC" w:rsidR="0050631F" w:rsidRPr="00B22B8E" w:rsidRDefault="00705EC7" w:rsidP="00D45F51">
      <w:pPr>
        <w:jc w:val="both"/>
        <w:rPr>
          <w:rFonts w:ascii="Times New Roman" w:hAnsi="Times New Roman" w:cs="Times New Roman"/>
        </w:rPr>
      </w:pPr>
      <w:bookmarkStart w:id="0" w:name="_Hlk2682480"/>
      <w:bookmarkStart w:id="1" w:name="_Hlk134778951"/>
      <w:r w:rsidRPr="00B22B8E">
        <w:rPr>
          <w:rFonts w:ascii="Times New Roman" w:hAnsi="Times New Roman" w:cs="Times New Roman"/>
        </w:rPr>
        <w:t xml:space="preserve">Shelby Energy Cooperative, Inc., </w:t>
      </w:r>
      <w:r w:rsidR="00000745" w:rsidRPr="00B22B8E">
        <w:rPr>
          <w:rFonts w:ascii="Times New Roman" w:hAnsi="Times New Roman" w:cs="Times New Roman"/>
        </w:rPr>
        <w:t>(“</w:t>
      </w:r>
      <w:r w:rsidRPr="00B22B8E">
        <w:rPr>
          <w:rFonts w:ascii="Times New Roman" w:hAnsi="Times New Roman" w:cs="Times New Roman"/>
        </w:rPr>
        <w:t>Shelby Energy</w:t>
      </w:r>
      <w:r w:rsidR="00000745" w:rsidRPr="00B22B8E">
        <w:rPr>
          <w:rFonts w:ascii="Times New Roman" w:hAnsi="Times New Roman" w:cs="Times New Roman"/>
        </w:rPr>
        <w:t>”)</w:t>
      </w:r>
      <w:r w:rsidR="001D01DD" w:rsidRPr="00B22B8E">
        <w:rPr>
          <w:rFonts w:ascii="Times New Roman" w:hAnsi="Times New Roman" w:cs="Times New Roman"/>
        </w:rPr>
        <w:t xml:space="preserve"> </w:t>
      </w:r>
      <w:r w:rsidR="0066444E" w:rsidRPr="00B22B8E">
        <w:rPr>
          <w:rFonts w:ascii="Times New Roman" w:hAnsi="Times New Roman" w:cs="Times New Roman"/>
        </w:rPr>
        <w:t xml:space="preserve">intends to propose a general </w:t>
      </w:r>
      <w:r w:rsidR="00000745" w:rsidRPr="00B22B8E">
        <w:rPr>
          <w:rFonts w:ascii="Times New Roman" w:hAnsi="Times New Roman" w:cs="Times New Roman"/>
        </w:rPr>
        <w:t>adjust</w:t>
      </w:r>
      <w:r w:rsidR="0066444E" w:rsidRPr="00B22B8E">
        <w:rPr>
          <w:rFonts w:ascii="Times New Roman" w:hAnsi="Times New Roman" w:cs="Times New Roman"/>
        </w:rPr>
        <w:t>ment of</w:t>
      </w:r>
      <w:r w:rsidR="00000745" w:rsidRPr="00B22B8E">
        <w:rPr>
          <w:rFonts w:ascii="Times New Roman" w:hAnsi="Times New Roman" w:cs="Times New Roman"/>
        </w:rPr>
        <w:t xml:space="preserve"> its existing rates</w:t>
      </w:r>
      <w:r w:rsidR="004A512D" w:rsidRPr="00B22B8E">
        <w:rPr>
          <w:rFonts w:ascii="Times New Roman" w:hAnsi="Times New Roman" w:cs="Times New Roman"/>
        </w:rPr>
        <w:t xml:space="preserve"> </w:t>
      </w:r>
      <w:r w:rsidR="00000745" w:rsidRPr="00B22B8E">
        <w:rPr>
          <w:rFonts w:ascii="Times New Roman" w:hAnsi="Times New Roman" w:cs="Times New Roman"/>
        </w:rPr>
        <w:t xml:space="preserve">by </w:t>
      </w:r>
      <w:r w:rsidR="004A512D" w:rsidRPr="00B22B8E">
        <w:rPr>
          <w:rFonts w:ascii="Times New Roman" w:hAnsi="Times New Roman" w:cs="Times New Roman"/>
        </w:rPr>
        <w:t xml:space="preserve">filing an </w:t>
      </w:r>
      <w:r w:rsidR="00000745" w:rsidRPr="00B22B8E">
        <w:rPr>
          <w:rFonts w:ascii="Times New Roman" w:hAnsi="Times New Roman" w:cs="Times New Roman"/>
        </w:rPr>
        <w:t>application</w:t>
      </w:r>
      <w:r w:rsidR="004A512D" w:rsidRPr="00B22B8E">
        <w:rPr>
          <w:rFonts w:ascii="Times New Roman" w:hAnsi="Times New Roman" w:cs="Times New Roman"/>
        </w:rPr>
        <w:t xml:space="preserve"> with the Kentucky Public Service Commission (“KPSC”)</w:t>
      </w:r>
      <w:r w:rsidR="00000745" w:rsidRPr="00B22B8E">
        <w:rPr>
          <w:rFonts w:ascii="Times New Roman" w:hAnsi="Times New Roman" w:cs="Times New Roman"/>
        </w:rPr>
        <w:t xml:space="preserve"> </w:t>
      </w:r>
      <w:r w:rsidR="004A512D" w:rsidRPr="00B22B8E">
        <w:rPr>
          <w:rFonts w:ascii="Times New Roman" w:hAnsi="Times New Roman" w:cs="Times New Roman"/>
        </w:rPr>
        <w:t>on</w:t>
      </w:r>
      <w:r w:rsidR="001211BF" w:rsidRPr="00B22B8E">
        <w:rPr>
          <w:rFonts w:ascii="Times New Roman" w:hAnsi="Times New Roman" w:cs="Times New Roman"/>
        </w:rPr>
        <w:t xml:space="preserve"> or after</w:t>
      </w:r>
      <w:r w:rsidR="0044373D" w:rsidRPr="00B22B8E">
        <w:rPr>
          <w:rFonts w:ascii="Times New Roman" w:hAnsi="Times New Roman" w:cs="Times New Roman"/>
        </w:rPr>
        <w:t xml:space="preserve"> </w:t>
      </w:r>
      <w:r w:rsidRPr="00B22B8E">
        <w:rPr>
          <w:rFonts w:ascii="Times New Roman" w:hAnsi="Times New Roman" w:cs="Times New Roman"/>
        </w:rPr>
        <w:t>August 1</w:t>
      </w:r>
      <w:r w:rsidR="004A512D" w:rsidRPr="00B22B8E">
        <w:rPr>
          <w:rFonts w:ascii="Times New Roman" w:hAnsi="Times New Roman" w:cs="Times New Roman"/>
        </w:rPr>
        <w:t>,</w:t>
      </w:r>
      <w:r w:rsidR="00303737" w:rsidRPr="00B22B8E">
        <w:rPr>
          <w:rFonts w:ascii="Times New Roman" w:hAnsi="Times New Roman" w:cs="Times New Roman"/>
        </w:rPr>
        <w:t xml:space="preserve"> 202</w:t>
      </w:r>
      <w:r w:rsidR="0044373D" w:rsidRPr="00B22B8E">
        <w:rPr>
          <w:rFonts w:ascii="Times New Roman" w:hAnsi="Times New Roman" w:cs="Times New Roman"/>
        </w:rPr>
        <w:t>3</w:t>
      </w:r>
      <w:r w:rsidR="004A512D" w:rsidRPr="00B22B8E">
        <w:rPr>
          <w:rFonts w:ascii="Times New Roman" w:hAnsi="Times New Roman" w:cs="Times New Roman"/>
        </w:rPr>
        <w:t xml:space="preserve"> in </w:t>
      </w:r>
      <w:r w:rsidR="003F5E90" w:rsidRPr="00B22B8E">
        <w:rPr>
          <w:rFonts w:ascii="Times New Roman" w:hAnsi="Times New Roman" w:cs="Times New Roman"/>
        </w:rPr>
        <w:t>Case No. 20</w:t>
      </w:r>
      <w:r w:rsidR="00303737" w:rsidRPr="00B22B8E">
        <w:rPr>
          <w:rFonts w:ascii="Times New Roman" w:hAnsi="Times New Roman" w:cs="Times New Roman"/>
        </w:rPr>
        <w:t>2</w:t>
      </w:r>
      <w:r w:rsidR="0044373D" w:rsidRPr="00B22B8E">
        <w:rPr>
          <w:rFonts w:ascii="Times New Roman" w:hAnsi="Times New Roman" w:cs="Times New Roman"/>
        </w:rPr>
        <w:t>3</w:t>
      </w:r>
      <w:r w:rsidR="003F5E90" w:rsidRPr="00B22B8E">
        <w:rPr>
          <w:rFonts w:ascii="Times New Roman" w:hAnsi="Times New Roman" w:cs="Times New Roman"/>
        </w:rPr>
        <w:t>-00</w:t>
      </w:r>
      <w:r w:rsidR="00DB5226" w:rsidRPr="00B22B8E">
        <w:rPr>
          <w:rFonts w:ascii="Times New Roman" w:hAnsi="Times New Roman" w:cs="Times New Roman"/>
        </w:rPr>
        <w:t>213</w:t>
      </w:r>
      <w:r w:rsidR="003F5E90" w:rsidRPr="00B22B8E">
        <w:rPr>
          <w:rFonts w:ascii="Times New Roman" w:hAnsi="Times New Roman" w:cs="Times New Roman"/>
        </w:rPr>
        <w:t>.</w:t>
      </w:r>
      <w:r w:rsidR="00000745" w:rsidRPr="00B22B8E">
        <w:rPr>
          <w:rFonts w:ascii="Times New Roman" w:hAnsi="Times New Roman" w:cs="Times New Roman"/>
        </w:rPr>
        <w:t xml:space="preserve"> </w:t>
      </w:r>
      <w:r w:rsidR="00D566A3" w:rsidRPr="00B22B8E">
        <w:rPr>
          <w:rFonts w:ascii="Times New Roman" w:hAnsi="Times New Roman" w:cs="Times New Roman"/>
        </w:rPr>
        <w:t xml:space="preserve">The application will </w:t>
      </w:r>
      <w:r w:rsidR="0050631F" w:rsidRPr="00B22B8E">
        <w:rPr>
          <w:rFonts w:ascii="Times New Roman" w:hAnsi="Times New Roman" w:cs="Times New Roman"/>
        </w:rPr>
        <w:t>request that the proposed rates become effective</w:t>
      </w:r>
      <w:r w:rsidR="001211BF" w:rsidRPr="00B22B8E">
        <w:rPr>
          <w:rFonts w:ascii="Times New Roman" w:hAnsi="Times New Roman" w:cs="Times New Roman"/>
        </w:rPr>
        <w:t xml:space="preserve"> on or after</w:t>
      </w:r>
      <w:r w:rsidR="0050631F" w:rsidRPr="00B22B8E">
        <w:rPr>
          <w:rFonts w:ascii="Times New Roman" w:hAnsi="Times New Roman" w:cs="Times New Roman"/>
        </w:rPr>
        <w:t xml:space="preserve"> </w:t>
      </w:r>
      <w:r w:rsidRPr="00B22B8E">
        <w:rPr>
          <w:rFonts w:ascii="Times New Roman" w:hAnsi="Times New Roman" w:cs="Times New Roman"/>
        </w:rPr>
        <w:t>September 1</w:t>
      </w:r>
      <w:r w:rsidR="0044373D" w:rsidRPr="00B22B8E">
        <w:rPr>
          <w:rFonts w:ascii="Times New Roman" w:hAnsi="Times New Roman" w:cs="Times New Roman"/>
        </w:rPr>
        <w:t>, 2023</w:t>
      </w:r>
      <w:r w:rsidR="00FF2845" w:rsidRPr="00B22B8E">
        <w:rPr>
          <w:rFonts w:ascii="Times New Roman" w:hAnsi="Times New Roman" w:cs="Times New Roman"/>
        </w:rPr>
        <w:t xml:space="preserve">.  </w:t>
      </w:r>
    </w:p>
    <w:bookmarkEnd w:id="0"/>
    <w:p w14:paraId="632802C9" w14:textId="77777777" w:rsidR="00082891" w:rsidRDefault="0082240E" w:rsidP="00D45F51">
      <w:pPr>
        <w:jc w:val="both"/>
        <w:rPr>
          <w:rFonts w:ascii="Times New Roman" w:hAnsi="Times New Roman" w:cs="Times New Roman"/>
        </w:rPr>
      </w:pPr>
      <w:r w:rsidRPr="00B22B8E">
        <w:rPr>
          <w:rFonts w:ascii="Times New Roman" w:hAnsi="Times New Roman" w:cs="Times New Roman"/>
        </w:rPr>
        <w:t>Shelby</w:t>
      </w:r>
      <w:r w:rsidR="00FF513B" w:rsidRPr="00B22B8E">
        <w:rPr>
          <w:rFonts w:ascii="Times New Roman" w:hAnsi="Times New Roman" w:cs="Times New Roman"/>
        </w:rPr>
        <w:t xml:space="preserve"> Energy</w:t>
      </w:r>
      <w:r w:rsidR="00266156" w:rsidRPr="00B22B8E">
        <w:rPr>
          <w:rFonts w:ascii="Times New Roman" w:hAnsi="Times New Roman" w:cs="Times New Roman"/>
        </w:rPr>
        <w:t xml:space="preserve"> intends to propose an adjustment only to certain rates</w:t>
      </w:r>
      <w:r w:rsidR="003F5E90" w:rsidRPr="00B22B8E">
        <w:rPr>
          <w:rFonts w:ascii="Times New Roman" w:hAnsi="Times New Roman" w:cs="Times New Roman"/>
        </w:rPr>
        <w:t xml:space="preserve">. </w:t>
      </w:r>
      <w:r w:rsidR="00A221DA" w:rsidRPr="00B22B8E">
        <w:rPr>
          <w:rFonts w:ascii="Times New Roman" w:hAnsi="Times New Roman" w:cs="Times New Roman"/>
        </w:rPr>
        <w:t>The present and proposed rates for each customer classification</w:t>
      </w:r>
      <w:r w:rsidR="00D566A3" w:rsidRPr="00B22B8E">
        <w:rPr>
          <w:rFonts w:ascii="Times New Roman" w:hAnsi="Times New Roman" w:cs="Times New Roman"/>
        </w:rPr>
        <w:t xml:space="preserve"> </w:t>
      </w:r>
      <w:r w:rsidR="0050631F" w:rsidRPr="00B22B8E">
        <w:rPr>
          <w:rFonts w:ascii="Times New Roman" w:hAnsi="Times New Roman" w:cs="Times New Roman"/>
        </w:rPr>
        <w:t xml:space="preserve">to which the proposed rates will apply </w:t>
      </w:r>
      <w:r w:rsidR="00A221DA" w:rsidRPr="00B22B8E">
        <w:rPr>
          <w:rFonts w:ascii="Times New Roman" w:hAnsi="Times New Roman" w:cs="Times New Roman"/>
        </w:rPr>
        <w:t xml:space="preserve">are </w:t>
      </w:r>
      <w:r w:rsidR="0050631F" w:rsidRPr="00B22B8E">
        <w:rPr>
          <w:rFonts w:ascii="Times New Roman" w:hAnsi="Times New Roman" w:cs="Times New Roman"/>
        </w:rPr>
        <w:t xml:space="preserve">set forth </w:t>
      </w:r>
      <w:r w:rsidR="00A221DA" w:rsidRPr="00B22B8E">
        <w:rPr>
          <w:rFonts w:ascii="Times New Roman" w:hAnsi="Times New Roman" w:cs="Times New Roman"/>
        </w:rPr>
        <w:t>below</w:t>
      </w:r>
      <w:r w:rsidR="00D566A3" w:rsidRPr="00B22B8E">
        <w:rPr>
          <w:rFonts w:ascii="Times New Roman" w:hAnsi="Times New Roman" w:cs="Times New Roman"/>
        </w:rPr>
        <w:t>:</w:t>
      </w:r>
      <w:bookmarkEnd w:id="1"/>
    </w:p>
    <w:tbl>
      <w:tblPr>
        <w:tblW w:w="9270" w:type="dxa"/>
        <w:tblLook w:val="04A0" w:firstRow="1" w:lastRow="0" w:firstColumn="1" w:lastColumn="0" w:noHBand="0" w:noVBand="1"/>
      </w:tblPr>
      <w:tblGrid>
        <w:gridCol w:w="650"/>
        <w:gridCol w:w="1420"/>
        <w:gridCol w:w="581"/>
        <w:gridCol w:w="3384"/>
        <w:gridCol w:w="1106"/>
        <w:gridCol w:w="419"/>
        <w:gridCol w:w="1710"/>
      </w:tblGrid>
      <w:tr w:rsidR="00E576C2" w:rsidRPr="00082891" w14:paraId="441B84C4" w14:textId="77777777" w:rsidTr="00E576C2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DE6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D65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131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2CE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FAE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6C2" w:rsidRPr="00082891" w14:paraId="43AFC901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3249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079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FDDB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A30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6582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Proposed</w:t>
            </w:r>
          </w:p>
        </w:tc>
      </w:tr>
      <w:tr w:rsidR="00EB3023" w:rsidRPr="00082891" w14:paraId="6828ACAA" w14:textId="77777777" w:rsidTr="003E2781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6D1" w14:textId="77777777" w:rsidR="00EB3023" w:rsidRPr="00082891" w:rsidRDefault="00EB302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34D" w14:textId="39FC90F6" w:rsidR="00EB3023" w:rsidRPr="00082891" w:rsidRDefault="00EB3023" w:rsidP="00E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Residential Service</w:t>
            </w:r>
          </w:p>
        </w:tc>
      </w:tr>
      <w:tr w:rsidR="00E576C2" w:rsidRPr="00082891" w14:paraId="18815757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56F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0F2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3D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 per Month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E7DB" w14:textId="5B58B173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15.48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CFF" w14:textId="1211891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19.75 </w:t>
            </w:r>
          </w:p>
        </w:tc>
      </w:tr>
      <w:tr w:rsidR="00E576C2" w:rsidRPr="00082891" w14:paraId="2C083ECC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D70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A71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93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5F2" w14:textId="5F91978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0.08960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EBF" w14:textId="56559102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0.09509 </w:t>
            </w:r>
          </w:p>
        </w:tc>
      </w:tr>
      <w:tr w:rsidR="00E576C2" w:rsidRPr="00082891" w14:paraId="4129EFA1" w14:textId="77777777" w:rsidTr="00E576C2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F3D2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5B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Off Peak Retail Marketing (ETS)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2EF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26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6C2" w:rsidRPr="00082891" w14:paraId="230CA499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CD7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66A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733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 per Month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3AE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ADDE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-   </w:t>
            </w:r>
          </w:p>
        </w:tc>
      </w:tr>
      <w:tr w:rsidR="00E576C2" w:rsidRPr="00082891" w14:paraId="00AD73E5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B9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6DE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452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E88" w14:textId="33210564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0.06064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A0C" w14:textId="14D8A599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0.06064 </w:t>
            </w:r>
          </w:p>
        </w:tc>
      </w:tr>
      <w:tr w:rsidR="00EB3023" w:rsidRPr="00082891" w14:paraId="4C2F10F2" w14:textId="77777777" w:rsidTr="006F63F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0E1" w14:textId="77777777" w:rsidR="00EB3023" w:rsidRPr="00082891" w:rsidRDefault="00EB302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B52" w14:textId="044922F6" w:rsidR="00EB3023" w:rsidRPr="00082891" w:rsidRDefault="00EB3023" w:rsidP="00E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Prepay Service</w:t>
            </w:r>
          </w:p>
        </w:tc>
      </w:tr>
      <w:tr w:rsidR="00E576C2" w:rsidRPr="00082891" w14:paraId="2052CD29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C54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93E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A7D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Consumer Facility Charge per day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485" w14:textId="45C5200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0.52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441" w14:textId="3404DD7C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0.65 </w:t>
            </w:r>
          </w:p>
        </w:tc>
      </w:tr>
      <w:tr w:rsidR="00E576C2" w:rsidRPr="00082891" w14:paraId="2E3158DD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7D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463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AA9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74A" w14:textId="2BA8DCEF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0.08960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8F4" w14:textId="08308330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0.09509 </w:t>
            </w:r>
          </w:p>
        </w:tc>
      </w:tr>
      <w:tr w:rsidR="00E576C2" w:rsidRPr="00082891" w14:paraId="4E21F96B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02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485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6A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Prepay Service Fee per day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5A4" w14:textId="366AA33B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0.10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FE43" w14:textId="39B1A9BA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0.10 </w:t>
            </w:r>
          </w:p>
        </w:tc>
      </w:tr>
      <w:tr w:rsidR="00EB3023" w:rsidRPr="00082891" w14:paraId="02013D2E" w14:textId="77777777" w:rsidTr="00047A76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1DF" w14:textId="77777777" w:rsidR="00EB3023" w:rsidRPr="00082891" w:rsidRDefault="00EB302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560" w14:textId="7BD90412" w:rsidR="00EB3023" w:rsidRPr="00082891" w:rsidRDefault="00EB3023" w:rsidP="00E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General Service </w:t>
            </w:r>
          </w:p>
        </w:tc>
      </w:tr>
      <w:tr w:rsidR="00E576C2" w:rsidRPr="00082891" w14:paraId="743D514F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0B5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C90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C29D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 Single Phase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137" w14:textId="6FC90994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18.57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CF3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22.84 </w:t>
            </w:r>
          </w:p>
        </w:tc>
      </w:tr>
      <w:tr w:rsidR="00E576C2" w:rsidRPr="00082891" w14:paraId="0301993F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3E4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04B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28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 Three Phase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7C6" w14:textId="0E8157C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41.27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0A7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45.54 </w:t>
            </w:r>
          </w:p>
        </w:tc>
      </w:tr>
      <w:tr w:rsidR="00E576C2" w:rsidRPr="00082891" w14:paraId="5710059D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C79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CB3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1C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7CA" w14:textId="48256B0E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0.09187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15A" w14:textId="5E88CEC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143A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0.09187 </w:t>
            </w:r>
          </w:p>
        </w:tc>
      </w:tr>
      <w:tr w:rsidR="00F61493" w:rsidRPr="00082891" w14:paraId="7D277DAC" w14:textId="77777777" w:rsidTr="008F55FB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CD1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A73" w14:textId="13A32F27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Large Power Service</w:t>
            </w:r>
          </w:p>
        </w:tc>
      </w:tr>
      <w:tr w:rsidR="00E576C2" w:rsidRPr="00082891" w14:paraId="7B771F26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A8E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927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8D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A9F" w14:textId="75B880D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53.84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96D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53.84 </w:t>
            </w:r>
          </w:p>
        </w:tc>
      </w:tr>
      <w:tr w:rsidR="00E576C2" w:rsidRPr="00082891" w14:paraId="5EA24639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D9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C34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24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091" w14:textId="577F5F5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0.06201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9CC" w14:textId="4C7991E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0.06201 </w:t>
            </w:r>
          </w:p>
        </w:tc>
      </w:tr>
      <w:tr w:rsidR="00E576C2" w:rsidRPr="00082891" w14:paraId="174C7DD0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50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69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3C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1A6A" w14:textId="0C88C349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6.24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5324" w14:textId="1310F4B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6.24 </w:t>
            </w:r>
          </w:p>
        </w:tc>
      </w:tr>
      <w:tr w:rsidR="00F61493" w:rsidRPr="00082891" w14:paraId="19E1C728" w14:textId="77777777" w:rsidTr="00C27BDF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2AD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B43" w14:textId="6E4CAE3A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Large Industrial Rate </w:t>
            </w:r>
          </w:p>
        </w:tc>
      </w:tr>
      <w:tr w:rsidR="00E576C2" w:rsidRPr="00082891" w14:paraId="21B3D3A8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750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A02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D1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3D0" w14:textId="184C4A6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633.60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F5D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633.60 </w:t>
            </w:r>
          </w:p>
        </w:tc>
      </w:tr>
      <w:tr w:rsidR="00E576C2" w:rsidRPr="00082891" w14:paraId="21CA1FDF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49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5B8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98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Contract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FD0" w14:textId="4F30A58F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900" w14:textId="41CEF0AA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7.49 </w:t>
            </w:r>
          </w:p>
        </w:tc>
      </w:tr>
      <w:tr w:rsidR="00E576C2" w:rsidRPr="00082891" w14:paraId="435E1AC6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7F3B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F6BE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79D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Excess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B8A" w14:textId="42339039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10.30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E3E" w14:textId="3AF379C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9.98 </w:t>
            </w:r>
          </w:p>
        </w:tc>
      </w:tr>
      <w:tr w:rsidR="00E576C2" w:rsidRPr="00082891" w14:paraId="6B00AE5F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A23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9C7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F7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58B" w14:textId="6EDF2A13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0.04979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C5F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$ 0.04979 </w:t>
            </w:r>
          </w:p>
        </w:tc>
      </w:tr>
      <w:tr w:rsidR="00F61493" w:rsidRPr="00082891" w14:paraId="4F648234" w14:textId="77777777" w:rsidTr="007675B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B90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27D" w14:textId="2A5DCAE1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Large Industrial Rate </w:t>
            </w:r>
          </w:p>
        </w:tc>
      </w:tr>
      <w:tr w:rsidR="00E576C2" w:rsidRPr="00082891" w14:paraId="54482784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67C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BD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CB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6F3" w14:textId="2993C732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1,266.41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7C6" w14:textId="325C1404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1,266.41 </w:t>
            </w:r>
          </w:p>
        </w:tc>
      </w:tr>
      <w:tr w:rsidR="00E576C2" w:rsidRPr="00082891" w14:paraId="6C062B16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A3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244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1C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Contract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7BB" w14:textId="2ECC4B0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E5F" w14:textId="5B9312A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7.49 </w:t>
            </w:r>
          </w:p>
        </w:tc>
      </w:tr>
      <w:tr w:rsidR="00E576C2" w:rsidRPr="00082891" w14:paraId="74771E2C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B33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60F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1D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Excess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CFF" w14:textId="20D8A5C4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10.30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5F5" w14:textId="04A5B833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9.98 </w:t>
            </w:r>
          </w:p>
        </w:tc>
      </w:tr>
      <w:tr w:rsidR="00E576C2" w:rsidRPr="00082891" w14:paraId="28E12E14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5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34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CF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2C9E" w14:textId="3ADE65E9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0.04329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54E" w14:textId="64981EB1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0.04329 </w:t>
            </w:r>
          </w:p>
        </w:tc>
      </w:tr>
      <w:tr w:rsidR="00F61493" w:rsidRPr="00082891" w14:paraId="03171867" w14:textId="77777777" w:rsidTr="00CD2DDF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2BD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0DC" w14:textId="03F2D3E6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Outdoor and Street Lighting</w:t>
            </w:r>
          </w:p>
        </w:tc>
      </w:tr>
      <w:tr w:rsidR="00E576C2" w:rsidRPr="00082891" w14:paraId="3D728CEB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B4F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FC5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96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Watt Outdoor Light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83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10.33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31D6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10.33 </w:t>
            </w:r>
          </w:p>
        </w:tc>
      </w:tr>
      <w:tr w:rsidR="00E576C2" w:rsidRPr="00082891" w14:paraId="5DCC9072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58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B28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F4F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Watt Directional Flood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D52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15.11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ACF6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15.11 </w:t>
            </w:r>
          </w:p>
        </w:tc>
      </w:tr>
      <w:tr w:rsidR="00E576C2" w:rsidRPr="00082891" w14:paraId="6E6A86ED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EF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B9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BA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Watt Decorative Colonial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5A4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13.96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6D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13.96 </w:t>
            </w:r>
          </w:p>
        </w:tc>
      </w:tr>
      <w:tr w:rsidR="00E576C2" w:rsidRPr="00082891" w14:paraId="6C264E4A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73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8DB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C62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Watt Directional Flood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B23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20.73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7E4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20.73 </w:t>
            </w:r>
          </w:p>
        </w:tc>
      </w:tr>
      <w:tr w:rsidR="00E576C2" w:rsidRPr="00082891" w14:paraId="33D94293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6D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165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C39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Watt Decorative Acorn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C34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16.64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40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16.64 </w:t>
            </w:r>
          </w:p>
        </w:tc>
      </w:tr>
      <w:tr w:rsidR="00E576C2" w:rsidRPr="00082891" w14:paraId="52279E1B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99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E09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5CF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0F6C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11.06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C1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11.06 </w:t>
            </w:r>
          </w:p>
        </w:tc>
      </w:tr>
      <w:tr w:rsidR="00E576C2" w:rsidRPr="00082891" w14:paraId="67CD40F4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68D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79C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FA6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Colonial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80F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13.78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62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13.78 </w:t>
            </w:r>
          </w:p>
        </w:tc>
      </w:tr>
      <w:tr w:rsidR="00E576C2" w:rsidRPr="00082891" w14:paraId="74A763F8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D40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D93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46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Cobra Head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F8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15.03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AC6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15.03 </w:t>
            </w:r>
          </w:p>
        </w:tc>
      </w:tr>
      <w:tr w:rsidR="00E576C2" w:rsidRPr="00082891" w14:paraId="523AC1FF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1CA6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A5F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832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Directional Flood Light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F68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20.48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912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20.48 </w:t>
            </w:r>
          </w:p>
        </w:tc>
      </w:tr>
      <w:tr w:rsidR="00F61493" w:rsidRPr="00082891" w14:paraId="1AA3B2B5" w14:textId="77777777" w:rsidTr="00D82AB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B90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5AC" w14:textId="370FE20F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Optional TOD Demand </w:t>
            </w:r>
          </w:p>
        </w:tc>
      </w:tr>
      <w:tr w:rsidR="00E576C2" w:rsidRPr="00082891" w14:paraId="3BEF3ED5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A28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02F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8F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41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47.38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52B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47.38 </w:t>
            </w:r>
          </w:p>
        </w:tc>
      </w:tr>
      <w:tr w:rsidR="00E576C2" w:rsidRPr="00082891" w14:paraId="73C0C134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BE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0F67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226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 - First 100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A54" w14:textId="6D710181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0.07138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024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$ 0.07138 </w:t>
            </w:r>
          </w:p>
        </w:tc>
      </w:tr>
      <w:tr w:rsidR="00E576C2" w:rsidRPr="00082891" w14:paraId="1131CDA6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4C3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3D5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7C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 - Next 100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9A5" w14:textId="2353A1A9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0.06478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B54C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$ 0.06478 </w:t>
            </w:r>
          </w:p>
        </w:tc>
      </w:tr>
      <w:tr w:rsidR="00E576C2" w:rsidRPr="00082891" w14:paraId="0E6FE1BB" w14:textId="77777777" w:rsidTr="00EB3023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195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09A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B8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 - All Over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D92" w14:textId="5A6D9B3F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0.05819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BF9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$ 0.05819 </w:t>
            </w:r>
          </w:p>
        </w:tc>
      </w:tr>
      <w:tr w:rsidR="00E576C2" w:rsidRPr="00082891" w14:paraId="66F228D1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CF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C1C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C1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Contract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A1A" w14:textId="00F86DEC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6.21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914" w14:textId="559D94C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6.21 </w:t>
            </w:r>
          </w:p>
        </w:tc>
      </w:tr>
      <w:tr w:rsidR="00F61493" w:rsidRPr="00082891" w14:paraId="07C21125" w14:textId="77777777" w:rsidTr="007B5CF4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F1C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7AD" w14:textId="3EDB2D0B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Special Outdoor Lighting</w:t>
            </w:r>
          </w:p>
        </w:tc>
      </w:tr>
      <w:tr w:rsidR="00E576C2" w:rsidRPr="00082891" w14:paraId="5D48A817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F41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DE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FD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Rate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FCEC" w14:textId="39E9AB5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0.05811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931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$ 0.05811 </w:t>
            </w:r>
          </w:p>
        </w:tc>
      </w:tr>
      <w:tr w:rsidR="00F61493" w:rsidRPr="00082891" w14:paraId="54F2E2FB" w14:textId="77777777" w:rsidTr="002A02F1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4AE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EB3" w14:textId="20CD6440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Large Industrial Rate</w:t>
            </w:r>
          </w:p>
        </w:tc>
      </w:tr>
      <w:tr w:rsidR="00E576C2" w:rsidRPr="00082891" w14:paraId="6B8D5401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887C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399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694" w14:textId="77777777" w:rsidR="00EB3023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Customer Charge Transformer </w:t>
            </w:r>
          </w:p>
          <w:p w14:paraId="71C0B10C" w14:textId="546D9A6B" w:rsidR="00E576C2" w:rsidRPr="00082891" w:rsidRDefault="00EB3023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E576C2"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10,000 - 14,999 kVA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99B" w14:textId="545EC7DA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3,530.38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6AE" w14:textId="5325C63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3,530.38 </w:t>
            </w:r>
          </w:p>
        </w:tc>
      </w:tr>
      <w:tr w:rsidR="00E576C2" w:rsidRPr="00082891" w14:paraId="564D018A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C12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2FB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3F3" w14:textId="77777777" w:rsidR="00EB3023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Customer Charge Transformer </w:t>
            </w:r>
          </w:p>
          <w:p w14:paraId="51402C39" w14:textId="7805A20C" w:rsidR="00E576C2" w:rsidRPr="00082891" w:rsidRDefault="00EB3023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E576C2"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15,000+ kVA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5E8" w14:textId="6B322BE1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5,603.59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EE6" w14:textId="7ECA5943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5,603.59 </w:t>
            </w:r>
          </w:p>
        </w:tc>
      </w:tr>
      <w:tr w:rsidR="00E576C2" w:rsidRPr="00082891" w14:paraId="5C72E9B2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EB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9A4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3C5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Contract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237" w14:textId="4EE8CE02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3EB" w14:textId="0D8492CE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7.49 </w:t>
            </w:r>
          </w:p>
        </w:tc>
      </w:tr>
      <w:tr w:rsidR="00E576C2" w:rsidRPr="00082891" w14:paraId="7219D586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A6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A77A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DC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Excess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A14" w14:textId="67ACAC85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B7B" w14:textId="5C347DD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9.98 </w:t>
            </w:r>
          </w:p>
        </w:tc>
      </w:tr>
      <w:tr w:rsidR="00E576C2" w:rsidRPr="00082891" w14:paraId="412B99E2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C2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1A8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F68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 - All Over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88B" w14:textId="33CF495D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0.04268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C70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$ 0.04268 </w:t>
            </w:r>
          </w:p>
        </w:tc>
      </w:tr>
      <w:tr w:rsidR="00F61493" w:rsidRPr="00082891" w14:paraId="223648B7" w14:textId="77777777" w:rsidTr="0044056A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5AE1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0F4" w14:textId="4E2BF697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Large Industrial Rate</w:t>
            </w:r>
          </w:p>
        </w:tc>
      </w:tr>
      <w:tr w:rsidR="00E576C2" w:rsidRPr="00082891" w14:paraId="66361E8D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73F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B94C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EE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4BF" w14:textId="64CC6A4F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633.81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FFF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633.81 </w:t>
            </w:r>
          </w:p>
        </w:tc>
      </w:tr>
      <w:tr w:rsidR="00E576C2" w:rsidRPr="00082891" w14:paraId="78540CB1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5DB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C36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B70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DE3" w14:textId="323E4F8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0.04979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460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$ 0.04979 </w:t>
            </w:r>
          </w:p>
        </w:tc>
      </w:tr>
      <w:tr w:rsidR="00E576C2" w:rsidRPr="00082891" w14:paraId="79448E38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EC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28C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7EA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ACB" w14:textId="1117444D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EF8" w14:textId="44A3EB2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7.49 </w:t>
            </w:r>
          </w:p>
        </w:tc>
      </w:tr>
      <w:tr w:rsidR="00F61493" w:rsidRPr="00082891" w14:paraId="1289A0E6" w14:textId="77777777" w:rsidTr="00D47272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EA36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8C1" w14:textId="1775113E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Large Industrial Rate</w:t>
            </w:r>
          </w:p>
        </w:tc>
      </w:tr>
      <w:tr w:rsidR="00E576C2" w:rsidRPr="00082891" w14:paraId="4B03286F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197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3E1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3FE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Charge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935" w14:textId="1B7DA03F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1,266.43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7BD" w14:textId="7445872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1,266.43 </w:t>
            </w:r>
          </w:p>
        </w:tc>
      </w:tr>
      <w:tr w:rsidR="00E576C2" w:rsidRPr="00082891" w14:paraId="1D53BEB0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AA4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A21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EB0C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D41" w14:textId="45F2FF80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0.04329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FDAF" w14:textId="5F812550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0.04329 </w:t>
            </w:r>
          </w:p>
        </w:tc>
      </w:tr>
      <w:tr w:rsidR="00E576C2" w:rsidRPr="00082891" w14:paraId="3DE070BA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FC9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E2F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BC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BE8" w14:textId="5C0EFC54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9B" w14:textId="12C179D1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7.49 </w:t>
            </w:r>
          </w:p>
        </w:tc>
      </w:tr>
      <w:tr w:rsidR="00F61493" w:rsidRPr="00082891" w14:paraId="34CF97C3" w14:textId="77777777" w:rsidTr="001E7A6B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3B6" w14:textId="77777777" w:rsidR="00F61493" w:rsidRPr="00082891" w:rsidRDefault="00F61493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C61" w14:textId="4C534AFA" w:rsidR="00F61493" w:rsidRPr="00082891" w:rsidRDefault="00F61493" w:rsidP="00F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Large Industrial Rate</w:t>
            </w:r>
          </w:p>
        </w:tc>
      </w:tr>
      <w:tr w:rsidR="00E576C2" w:rsidRPr="00082891" w14:paraId="47844A01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3DE" w14:textId="77777777" w:rsidR="00E576C2" w:rsidRPr="00082891" w:rsidRDefault="00E576C2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6ED4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FA9" w14:textId="77777777" w:rsidR="00EB3023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Customer Charge Transformer </w:t>
            </w:r>
          </w:p>
          <w:p w14:paraId="4C7770D0" w14:textId="468F2502" w:rsidR="00E576C2" w:rsidRPr="00082891" w:rsidRDefault="00EB3023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E576C2"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10,000 - 14,999 kVA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570" w14:textId="2A5EF7C1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3,530.38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66A" w14:textId="51E69798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3,530.38 </w:t>
            </w:r>
          </w:p>
        </w:tc>
      </w:tr>
      <w:tr w:rsidR="00E576C2" w:rsidRPr="00082891" w14:paraId="0F8E92F9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1C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E57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478" w14:textId="77777777" w:rsidR="00EB3023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Customer Charge Transformer </w:t>
            </w:r>
          </w:p>
          <w:p w14:paraId="022D88A9" w14:textId="12A1371A" w:rsidR="00E576C2" w:rsidRPr="00082891" w:rsidRDefault="00EB3023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E576C2"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15,000+ kVA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1D6" w14:textId="18536216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5,603.59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930" w14:textId="16528580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5,603.59 </w:t>
            </w:r>
          </w:p>
        </w:tc>
      </w:tr>
      <w:tr w:rsidR="00E576C2" w:rsidRPr="00082891" w14:paraId="68791A40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60F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1DA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151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Charge - Contract per kW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A8F" w14:textId="4C5E3EBB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CC8" w14:textId="5680477D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7.49 </w:t>
            </w:r>
          </w:p>
        </w:tc>
      </w:tr>
      <w:tr w:rsidR="00E576C2" w:rsidRPr="00082891" w14:paraId="228E08EA" w14:textId="77777777" w:rsidTr="00EB3023">
        <w:trPr>
          <w:trHeight w:val="2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467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BD28" w14:textId="77777777" w:rsidR="00E576C2" w:rsidRPr="00082891" w:rsidRDefault="00E576C2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1AE" w14:textId="77777777" w:rsidR="00E576C2" w:rsidRPr="00082891" w:rsidRDefault="00E576C2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Charge per kWh - All Over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1E3" w14:textId="76D84CD3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AB30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0.04268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BB6" w14:textId="77777777" w:rsidR="00E576C2" w:rsidRPr="00082891" w:rsidRDefault="00E576C2" w:rsidP="00E57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$ 0.04268 </w:t>
            </w:r>
          </w:p>
        </w:tc>
      </w:tr>
    </w:tbl>
    <w:p w14:paraId="3995C126" w14:textId="75DE2E94" w:rsidR="0048073A" w:rsidRPr="003F5E90" w:rsidRDefault="0048073A" w:rsidP="00D45F51">
      <w:pPr>
        <w:jc w:val="both"/>
        <w:rPr>
          <w:rFonts w:ascii="Times New Roman" w:hAnsi="Times New Roman" w:cs="Times New Roman"/>
          <w:sz w:val="2"/>
          <w:szCs w:val="24"/>
        </w:rPr>
      </w:pPr>
    </w:p>
    <w:p w14:paraId="40ABDD79" w14:textId="77777777" w:rsidR="00266156" w:rsidRPr="005D5E24" w:rsidRDefault="00266156" w:rsidP="00D45F51">
      <w:pPr>
        <w:jc w:val="both"/>
        <w:rPr>
          <w:rFonts w:ascii="Times New Roman" w:hAnsi="Times New Roman" w:cs="Times New Roman"/>
          <w:sz w:val="10"/>
          <w:szCs w:val="24"/>
        </w:rPr>
      </w:pPr>
      <w:bookmarkStart w:id="2" w:name="OLE_LINK1"/>
    </w:p>
    <w:p w14:paraId="1ADC01E6" w14:textId="77777777" w:rsidR="006F309E" w:rsidRPr="009D11B9" w:rsidRDefault="006F309E" w:rsidP="006F309E">
      <w:pPr>
        <w:jc w:val="center"/>
        <w:rPr>
          <w:rFonts w:ascii="Times New Roman" w:hAnsi="Times New Roman" w:cs="Times New Roman"/>
          <w:bCs/>
          <w:u w:val="single"/>
        </w:rPr>
      </w:pPr>
      <w:r w:rsidRPr="009D11B9">
        <w:rPr>
          <w:rFonts w:ascii="Times New Roman" w:hAnsi="Times New Roman" w:cs="Times New Roman"/>
          <w:bCs/>
          <w:u w:val="single"/>
        </w:rPr>
        <w:t>No revisions are proposed to any other charges or Rate Schedules.</w:t>
      </w:r>
    </w:p>
    <w:p w14:paraId="774DD205" w14:textId="77777777" w:rsidR="00B72880" w:rsidRDefault="00B72880" w:rsidP="00082891">
      <w:pPr>
        <w:jc w:val="both"/>
        <w:rPr>
          <w:rFonts w:ascii="Times New Roman" w:hAnsi="Times New Roman" w:cs="Times New Roman"/>
        </w:rPr>
      </w:pPr>
    </w:p>
    <w:p w14:paraId="04096522" w14:textId="5938E8F5" w:rsidR="00082891" w:rsidRDefault="0050631F" w:rsidP="00082891">
      <w:pPr>
        <w:jc w:val="both"/>
        <w:rPr>
          <w:rFonts w:ascii="Times New Roman" w:hAnsi="Times New Roman" w:cs="Times New Roman"/>
        </w:rPr>
      </w:pPr>
      <w:r w:rsidRPr="00B22B8E">
        <w:rPr>
          <w:rFonts w:ascii="Times New Roman" w:hAnsi="Times New Roman" w:cs="Times New Roman"/>
        </w:rPr>
        <w:t>The amount of the change requested in both dollar amounts and percentage change for each customer classification to which the proposed rates will apply is set forth below:</w:t>
      </w:r>
      <w:bookmarkStart w:id="3" w:name="_Hlk134779053"/>
      <w:bookmarkEnd w:id="2"/>
    </w:p>
    <w:tbl>
      <w:tblPr>
        <w:tblW w:w="9360" w:type="dxa"/>
        <w:tblLook w:val="04A0" w:firstRow="1" w:lastRow="0" w:firstColumn="1" w:lastColumn="0" w:noHBand="0" w:noVBand="1"/>
      </w:tblPr>
      <w:tblGrid>
        <w:gridCol w:w="221"/>
        <w:gridCol w:w="222"/>
        <w:gridCol w:w="1049"/>
        <w:gridCol w:w="2707"/>
        <w:gridCol w:w="2191"/>
        <w:gridCol w:w="180"/>
        <w:gridCol w:w="360"/>
        <w:gridCol w:w="1260"/>
        <w:gridCol w:w="1170"/>
      </w:tblGrid>
      <w:tr w:rsidR="00082891" w:rsidRPr="00082891" w14:paraId="78FCBDCB" w14:textId="77777777" w:rsidTr="001B5151">
        <w:trPr>
          <w:trHeight w:val="10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89E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8C0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869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4F6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96A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6C40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Increase</w:t>
            </w:r>
          </w:p>
        </w:tc>
      </w:tr>
      <w:tr w:rsidR="00082891" w:rsidRPr="00082891" w14:paraId="6101D4D4" w14:textId="77777777" w:rsidTr="007B0637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031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CA1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5223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Class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E4A8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AFA2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D94E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Dollars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5E21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082891" w:rsidRPr="00082891" w14:paraId="7E9356FD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5BD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CA4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646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4FA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Service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17A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A2D" w14:textId="64CAFA39" w:rsidR="00082891" w:rsidRPr="00082891" w:rsidRDefault="007D2789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$ 1,846,414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68E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6.78%</w:t>
            </w:r>
          </w:p>
        </w:tc>
      </w:tr>
      <w:tr w:rsidR="00082891" w:rsidRPr="00082891" w14:paraId="493EA7DB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D34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97C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527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43B8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 Peak Retail Marketing (ETS)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88F" w14:textId="5CD22113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7D2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10F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53077B50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5CB2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DDE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FC6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CA1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Prepay Service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CF7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D94" w14:textId="6B1E136A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122,448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52D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6.30%</w:t>
            </w:r>
          </w:p>
        </w:tc>
      </w:tr>
      <w:tr w:rsidR="00082891" w:rsidRPr="00082891" w14:paraId="37D4D25C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9197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C6B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130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0BE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Service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CEDA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544" w14:textId="03C06D83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192,449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3E6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3.59%</w:t>
            </w:r>
          </w:p>
        </w:tc>
      </w:tr>
      <w:tr w:rsidR="00082891" w:rsidRPr="00082891" w14:paraId="216556C3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B29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8A3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B8B1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FF8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Power Service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CD9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F23" w14:textId="389BE4FC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7D2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E14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14288471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31BC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A4B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6A5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B1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B42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Large Industrial Rate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B5B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DBB" w14:textId="08E50E85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13,247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4972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0.13%</w:t>
            </w:r>
          </w:p>
        </w:tc>
      </w:tr>
      <w:tr w:rsidR="00082891" w:rsidRPr="00082891" w14:paraId="5DF3E08A" w14:textId="77777777" w:rsidTr="001B5151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759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94C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4BD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657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Large Industrial Rate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EDD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429" w14:textId="24342683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5,036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847F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0.18%</w:t>
            </w:r>
          </w:p>
        </w:tc>
      </w:tr>
      <w:tr w:rsidR="00082891" w:rsidRPr="00082891" w14:paraId="66D05DF5" w14:textId="77777777" w:rsidTr="007B0637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741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2BF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63A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492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Outdoor and Street Lighting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30B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3D8" w14:textId="67C6016F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7D2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DCF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377F7CBE" w14:textId="77777777" w:rsidTr="00543C3B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F16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C16" w14:textId="77777777" w:rsidR="00082891" w:rsidRPr="00082891" w:rsidRDefault="00082891" w:rsidP="0008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3D1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B03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3DF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D6D" w14:textId="18CA6848" w:rsidR="00082891" w:rsidRPr="00082891" w:rsidRDefault="007D2789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BA38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3C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B51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,179,595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926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4.00%</w:t>
            </w:r>
          </w:p>
        </w:tc>
      </w:tr>
    </w:tbl>
    <w:p w14:paraId="50715C6C" w14:textId="77777777" w:rsidR="00082891" w:rsidRDefault="00082891" w:rsidP="000828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8625" w:type="dxa"/>
        <w:tblLook w:val="04A0" w:firstRow="1" w:lastRow="0" w:firstColumn="1" w:lastColumn="0" w:noHBand="0" w:noVBand="1"/>
      </w:tblPr>
      <w:tblGrid>
        <w:gridCol w:w="1053"/>
        <w:gridCol w:w="2889"/>
        <w:gridCol w:w="918"/>
        <w:gridCol w:w="1440"/>
        <w:gridCol w:w="1375"/>
        <w:gridCol w:w="950"/>
      </w:tblGrid>
      <w:tr w:rsidR="00082891" w:rsidRPr="00082891" w14:paraId="23D8377B" w14:textId="77777777" w:rsidTr="00082891">
        <w:trPr>
          <w:trHeight w:val="803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6096" w14:textId="32920F14" w:rsidR="00082891" w:rsidRPr="00CE44E9" w:rsidRDefault="00082891" w:rsidP="00CE44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44E9">
              <w:rPr>
                <w:rFonts w:ascii="Times New Roman" w:hAnsi="Times New Roman" w:cs="Times New Roman"/>
              </w:rPr>
              <w:t xml:space="preserve">The amount of the average usage and the effect upon the average </w:t>
            </w:r>
            <w:r w:rsidR="00AB54D4" w:rsidRPr="00CE44E9">
              <w:rPr>
                <w:rFonts w:ascii="Times New Roman" w:hAnsi="Times New Roman" w:cs="Times New Roman"/>
              </w:rPr>
              <w:t xml:space="preserve">monthly </w:t>
            </w:r>
            <w:r w:rsidRPr="00CE44E9">
              <w:rPr>
                <w:rFonts w:ascii="Times New Roman" w:hAnsi="Times New Roman" w:cs="Times New Roman"/>
              </w:rPr>
              <w:t>bill for each customer classification to which the proposed rates will apply is set forth below:</w:t>
            </w:r>
          </w:p>
        </w:tc>
      </w:tr>
      <w:tr w:rsidR="00082891" w:rsidRPr="00082891" w14:paraId="5A7FCDC4" w14:textId="77777777" w:rsidTr="00836611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D1F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405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1C7" w14:textId="7AD84879" w:rsidR="00082891" w:rsidRPr="00082891" w:rsidRDefault="00836611" w:rsidP="00836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9098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Increase</w:t>
            </w:r>
          </w:p>
        </w:tc>
      </w:tr>
      <w:tr w:rsidR="00082891" w:rsidRPr="00082891" w14:paraId="3A63DA5E" w14:textId="77777777" w:rsidTr="00836611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BB08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Class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1227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198A" w14:textId="682204C6" w:rsidR="00082891" w:rsidRPr="00082891" w:rsidRDefault="00783FA8" w:rsidP="0083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</w:t>
            </w:r>
            <w:r w:rsidR="00AB54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erage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2891" w:rsidRPr="00082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Usage (kWh)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A5E3" w14:textId="77777777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Dollars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DEBD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082891" w:rsidRPr="00082891" w14:paraId="529D66F6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1C98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C1E5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Residential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3D64" w14:textId="145526EF" w:rsidR="00082891" w:rsidRPr="00082891" w:rsidRDefault="00082891" w:rsidP="00DF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        1,384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FEF1" w14:textId="2725625C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$ 11.87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46AD" w14:textId="2A587E6B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6.78%</w:t>
            </w:r>
          </w:p>
        </w:tc>
      </w:tr>
      <w:tr w:rsidR="00082891" w:rsidRPr="00082891" w14:paraId="4A3ABB09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DEFA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2771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Off Peak Retail Marketing (ETS)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CF06" w14:textId="6941F2EC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          897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0321" w14:textId="603B238F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</w:t>
            </w:r>
            <w:r w:rsidR="007D5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DCD4" w14:textId="6723CCD5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5A0EB0C3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1239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F943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Prepay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5009" w14:textId="55CA0119" w:rsidR="00082891" w:rsidRPr="001050A4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50A4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8562BE" w:rsidRPr="001050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050A4" w:rsidRPr="001050A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562BE" w:rsidRPr="001050A4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  <w:r w:rsidRPr="001050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5B29" w14:textId="362B505C" w:rsidR="00082891" w:rsidRPr="001050A4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50A4">
              <w:rPr>
                <w:rFonts w:ascii="Arial" w:eastAsia="Times New Roman" w:hAnsi="Arial" w:cs="Arial"/>
                <w:sz w:val="20"/>
                <w:szCs w:val="20"/>
              </w:rPr>
              <w:t xml:space="preserve"> $ </w:t>
            </w:r>
            <w:r w:rsidR="001050A4" w:rsidRPr="001050A4">
              <w:rPr>
                <w:rFonts w:ascii="Arial" w:eastAsia="Times New Roman" w:hAnsi="Arial" w:cs="Arial"/>
                <w:sz w:val="20"/>
                <w:szCs w:val="20"/>
              </w:rPr>
              <w:t>12.56</w:t>
            </w:r>
            <w:r w:rsidRPr="001050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CFC1" w14:textId="0F207C1F" w:rsidR="00EB6DB0" w:rsidRPr="00EB6DB0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6DB0">
              <w:rPr>
                <w:rFonts w:ascii="Arial" w:eastAsia="Times New Roman" w:hAnsi="Arial" w:cs="Arial"/>
                <w:sz w:val="20"/>
                <w:szCs w:val="20"/>
              </w:rPr>
              <w:t>6.30%</w:t>
            </w:r>
          </w:p>
          <w:p w14:paraId="757D1154" w14:textId="77777777" w:rsidR="00EE029D" w:rsidRPr="00EB6DB0" w:rsidRDefault="00EE029D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82891" w:rsidRPr="00082891" w14:paraId="5164C22A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FC64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29C0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General Service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5EAE" w14:textId="60EE190F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          888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F378" w14:textId="36B6B7D5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</w:t>
            </w:r>
            <w:r w:rsidR="009768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4.57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11E8" w14:textId="2DA14C8C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3.59%</w:t>
            </w:r>
          </w:p>
        </w:tc>
      </w:tr>
      <w:tr w:rsidR="00082891" w:rsidRPr="00082891" w14:paraId="266C3A5D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B55A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0D58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Large Power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C609" w14:textId="246712F4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     84,088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EB50" w14:textId="1AB73B20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</w:t>
            </w:r>
            <w:r w:rsidR="007D5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1DB3" w14:textId="2C6B72C6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155BB432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CF90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8F9E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Large Industrial Rate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851A" w14:textId="00BEFF15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    680,697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1515" w14:textId="0263FED0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$ 78.85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89EA" w14:textId="61E8364A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0.13%</w:t>
            </w:r>
          </w:p>
        </w:tc>
      </w:tr>
      <w:tr w:rsidR="00082891" w:rsidRPr="00082891" w14:paraId="6E645D99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A200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D0E9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Large Industrial Rate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5EAD" w14:textId="625E892B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    2,845,880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D922" w14:textId="51333047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$ 19.71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AF5C" w14:textId="38E43DD8" w:rsidR="00EE029D" w:rsidRPr="00082891" w:rsidRDefault="00082891" w:rsidP="00DD4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0.18%</w:t>
            </w:r>
          </w:p>
        </w:tc>
      </w:tr>
      <w:tr w:rsidR="00082891" w:rsidRPr="00082891" w14:paraId="413D8107" w14:textId="77777777" w:rsidTr="00DF77AB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961E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C726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Outdoor and Street Lighting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FD3B" w14:textId="77777777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A729" w14:textId="33CFEEE9" w:rsidR="00082891" w:rsidRPr="00082891" w:rsidRDefault="00082891" w:rsidP="00765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</w:t>
            </w:r>
            <w:r w:rsidR="007D5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AADC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82891" w:rsidRPr="00082891" w14:paraId="0C424F9F" w14:textId="77777777" w:rsidTr="00DF77AB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D1D7" w14:textId="77777777" w:rsidR="00082891" w:rsidRPr="00082891" w:rsidRDefault="00082891" w:rsidP="0008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1F50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23CA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F385" w14:textId="77777777" w:rsidR="00082891" w:rsidRPr="00082891" w:rsidRDefault="00082891" w:rsidP="00082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07F7" w14:textId="77777777" w:rsidR="00082891" w:rsidRPr="00082891" w:rsidRDefault="00082891" w:rsidP="00082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4.00%</w:t>
            </w:r>
          </w:p>
        </w:tc>
      </w:tr>
    </w:tbl>
    <w:p w14:paraId="0B662270" w14:textId="30E15B1E" w:rsidR="005064BD" w:rsidRDefault="00082891" w:rsidP="000828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A51DADC" w14:textId="048F9E11" w:rsidR="00FF513B" w:rsidRPr="005064BD" w:rsidRDefault="005064BD" w:rsidP="005064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This </w:t>
      </w:r>
      <w:r w:rsidR="00D82DB7">
        <w:rPr>
          <w:rFonts w:ascii="Times New Roman" w:hAnsi="Times New Roman" w:cs="Times New Roman"/>
          <w:b/>
          <w:bCs/>
          <w:sz w:val="24"/>
          <w:szCs w:val="24"/>
          <w:u w:val="single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reflects the rate classes that have active customers</w:t>
      </w:r>
      <w:r w:rsidR="003055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FF5603D" w14:textId="4FB5C33F" w:rsidR="00000000" w:rsidRPr="00D45F51" w:rsidRDefault="00D94170" w:rsidP="008C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  <w:r w:rsidR="0066444E">
        <w:rPr>
          <w:rFonts w:ascii="Times New Roman" w:hAnsi="Times New Roman" w:cs="Times New Roman"/>
          <w:sz w:val="24"/>
          <w:szCs w:val="24"/>
        </w:rPr>
        <w:t>, links,</w:t>
      </w:r>
      <w:r>
        <w:rPr>
          <w:rFonts w:ascii="Times New Roman" w:hAnsi="Times New Roman" w:cs="Times New Roman"/>
          <w:sz w:val="24"/>
          <w:szCs w:val="24"/>
        </w:rPr>
        <w:t xml:space="preserve"> and a copy of </w:t>
      </w:r>
      <w:r w:rsidR="00FF513B">
        <w:rPr>
          <w:rFonts w:ascii="Times New Roman" w:hAnsi="Times New Roman" w:cs="Times New Roman"/>
          <w:sz w:val="24"/>
          <w:szCs w:val="24"/>
        </w:rPr>
        <w:t>Shelby Energy</w:t>
      </w:r>
      <w:r w:rsidR="0044373D">
        <w:rPr>
          <w:rFonts w:ascii="Times New Roman" w:hAnsi="Times New Roman" w:cs="Times New Roman"/>
          <w:sz w:val="24"/>
          <w:szCs w:val="24"/>
        </w:rPr>
        <w:t>’</w:t>
      </w:r>
      <w:r w:rsidR="00FF51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full notice </w:t>
      </w:r>
      <w:r w:rsidR="004437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oncerning its proposed rate adjustment can be found at </w:t>
      </w:r>
      <w:r w:rsidR="00FF513B">
        <w:rPr>
          <w:rFonts w:ascii="Times New Roman" w:hAnsi="Times New Roman" w:cs="Times New Roman"/>
          <w:sz w:val="24"/>
          <w:szCs w:val="24"/>
        </w:rPr>
        <w:t>Shelby Energy’s</w:t>
      </w:r>
      <w:r w:rsidRPr="00D94170">
        <w:t xml:space="preserve"> </w:t>
      </w:r>
      <w:r w:rsidR="00067A2A">
        <w:rPr>
          <w:rFonts w:ascii="Times New Roman" w:hAnsi="Times New Roman" w:cs="Times New Roman"/>
          <w:sz w:val="24"/>
          <w:szCs w:val="24"/>
        </w:rPr>
        <w:t>principal office (</w:t>
      </w:r>
      <w:r w:rsidR="00FF513B">
        <w:rPr>
          <w:rFonts w:ascii="Times New Roman" w:hAnsi="Times New Roman" w:cs="Times New Roman"/>
          <w:sz w:val="24"/>
          <w:szCs w:val="24"/>
        </w:rPr>
        <w:t>620 Old Finchville Road</w:t>
      </w:r>
      <w:r w:rsidR="0044373D">
        <w:rPr>
          <w:rFonts w:ascii="Times New Roman" w:hAnsi="Times New Roman" w:cs="Times New Roman"/>
          <w:sz w:val="24"/>
          <w:szCs w:val="24"/>
        </w:rPr>
        <w:t xml:space="preserve">, </w:t>
      </w:r>
      <w:r w:rsidR="00FF513B">
        <w:rPr>
          <w:rFonts w:ascii="Times New Roman" w:hAnsi="Times New Roman" w:cs="Times New Roman"/>
          <w:sz w:val="24"/>
          <w:szCs w:val="24"/>
        </w:rPr>
        <w:t>Shelbyville</w:t>
      </w:r>
      <w:r w:rsidR="00303737">
        <w:rPr>
          <w:rFonts w:ascii="Times New Roman" w:hAnsi="Times New Roman" w:cs="Times New Roman"/>
          <w:sz w:val="24"/>
          <w:szCs w:val="24"/>
        </w:rPr>
        <w:t xml:space="preserve">, KY </w:t>
      </w:r>
      <w:r w:rsidR="00FF513B">
        <w:rPr>
          <w:rFonts w:ascii="Times New Roman" w:hAnsi="Times New Roman" w:cs="Times New Roman"/>
          <w:sz w:val="24"/>
          <w:szCs w:val="24"/>
        </w:rPr>
        <w:t>40065</w:t>
      </w:r>
      <w:r w:rsidR="00067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2682666"/>
      <w:r w:rsidRPr="008C07F8">
        <w:rPr>
          <w:rFonts w:ascii="Times New Roman" w:hAnsi="Times New Roman" w:cs="Times New Roman"/>
          <w:kern w:val="24"/>
          <w:sz w:val="24"/>
          <w:szCs w:val="24"/>
        </w:rPr>
        <w:t>its website (</w:t>
      </w:r>
      <w:r w:rsidR="00FF513B" w:rsidRPr="00FF513B">
        <w:rPr>
          <w:rFonts w:ascii="Times New Roman" w:hAnsi="Times New Roman" w:cs="Times New Roman"/>
          <w:kern w:val="24"/>
          <w:sz w:val="24"/>
          <w:szCs w:val="24"/>
        </w:rPr>
        <w:t>https://www.shelbyenergy.com/</w:t>
      </w:r>
      <w:r w:rsidRPr="008C07F8">
        <w:rPr>
          <w:rFonts w:ascii="Times New Roman" w:hAnsi="Times New Roman" w:cs="Times New Roman"/>
          <w:kern w:val="24"/>
          <w:sz w:val="24"/>
          <w:szCs w:val="24"/>
        </w:rPr>
        <w:t>),</w:t>
      </w:r>
      <w:r w:rsidR="008C07F8" w:rsidRPr="008C07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C07F8">
        <w:rPr>
          <w:rFonts w:ascii="Times New Roman" w:hAnsi="Times New Roman" w:cs="Times New Roman"/>
          <w:kern w:val="24"/>
          <w:sz w:val="24"/>
          <w:szCs w:val="24"/>
        </w:rPr>
        <w:t xml:space="preserve">and </w:t>
      </w:r>
      <w:r w:rsidR="005D5E24" w:rsidRPr="008C07F8">
        <w:rPr>
          <w:rFonts w:ascii="Times New Roman" w:hAnsi="Times New Roman" w:cs="Times New Roman"/>
          <w:kern w:val="24"/>
          <w:sz w:val="24"/>
          <w:szCs w:val="24"/>
        </w:rPr>
        <w:t>via</w:t>
      </w:r>
      <w:r w:rsidR="0066444E" w:rsidRPr="008C07F8">
        <w:rPr>
          <w:rFonts w:ascii="Times New Roman" w:hAnsi="Times New Roman" w:cs="Times New Roman"/>
          <w:kern w:val="24"/>
          <w:sz w:val="24"/>
          <w:szCs w:val="24"/>
        </w:rPr>
        <w:t xml:space="preserve"> social media </w:t>
      </w:r>
      <w:r w:rsidR="0092518B" w:rsidRPr="001F57F7">
        <w:rPr>
          <w:rFonts w:ascii="Times New Roman" w:hAnsi="Times New Roman" w:cs="Times New Roman"/>
          <w:kern w:val="24"/>
          <w:sz w:val="24"/>
          <w:szCs w:val="24"/>
        </w:rPr>
        <w:t>(</w:t>
      </w:r>
      <w:r w:rsidR="00FF513B" w:rsidRPr="001F57F7">
        <w:rPr>
          <w:rFonts w:ascii="Times New Roman" w:hAnsi="Times New Roman" w:cs="Times New Roman"/>
          <w:kern w:val="24"/>
          <w:sz w:val="24"/>
          <w:szCs w:val="24"/>
        </w:rPr>
        <w:t>facebook.com/shelbyenergycooperative</w:t>
      </w:r>
      <w:r w:rsidR="00E21244" w:rsidRPr="001F57F7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1D5ADA">
        <w:rPr>
          <w:rFonts w:ascii="Times New Roman" w:hAnsi="Times New Roman" w:cs="Times New Roman"/>
          <w:kern w:val="24"/>
          <w:sz w:val="24"/>
          <w:szCs w:val="24"/>
        </w:rPr>
        <w:t xml:space="preserve"> and LinkedIn @ Shelby Energy Cooperative, Inc.</w:t>
      </w:r>
      <w:r w:rsidR="000353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1D5A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Shelby Energy has inactive Twitter and Instagram accounts so it will not be posted on those inactive social media accounts</w:t>
      </w:r>
      <w:r w:rsidR="00A41502">
        <w:t>.</w:t>
      </w:r>
      <w:r w:rsidR="004E6128" w:rsidRPr="00A12AD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567091" w:rsidRPr="00D45F51">
        <w:rPr>
          <w:rFonts w:ascii="Times New Roman" w:hAnsi="Times New Roman" w:cs="Times New Roman"/>
          <w:sz w:val="24"/>
          <w:szCs w:val="24"/>
        </w:rPr>
        <w:t>A person may submit a timely written request for intervention to</w:t>
      </w:r>
      <w:r w:rsidR="006836B1">
        <w:rPr>
          <w:rFonts w:ascii="Times New Roman" w:hAnsi="Times New Roman" w:cs="Times New Roman"/>
          <w:sz w:val="24"/>
          <w:szCs w:val="24"/>
        </w:rPr>
        <w:t xml:space="preserve"> the </w:t>
      </w:r>
      <w:r w:rsidR="003D1867">
        <w:rPr>
          <w:rFonts w:ascii="Times New Roman" w:hAnsi="Times New Roman" w:cs="Times New Roman"/>
          <w:sz w:val="24"/>
          <w:szCs w:val="24"/>
        </w:rPr>
        <w:t>K</w:t>
      </w:r>
      <w:r w:rsidR="00FF513B">
        <w:rPr>
          <w:rFonts w:ascii="Times New Roman" w:hAnsi="Times New Roman" w:cs="Times New Roman"/>
          <w:sz w:val="24"/>
          <w:szCs w:val="24"/>
        </w:rPr>
        <w:t>PSC</w:t>
      </w:r>
      <w:r w:rsidR="003D1867">
        <w:rPr>
          <w:rFonts w:ascii="Times New Roman" w:hAnsi="Times New Roman" w:cs="Times New Roman"/>
          <w:sz w:val="24"/>
          <w:szCs w:val="24"/>
        </w:rPr>
        <w:t>,</w:t>
      </w:r>
      <w:r w:rsidR="006836B1">
        <w:rPr>
          <w:rFonts w:ascii="Times New Roman" w:hAnsi="Times New Roman" w:cs="Times New Roman"/>
          <w:sz w:val="24"/>
          <w:szCs w:val="24"/>
        </w:rPr>
        <w:t xml:space="preserve"> </w:t>
      </w:r>
      <w:r w:rsidR="00184BEB" w:rsidRPr="00D45F51">
        <w:rPr>
          <w:rFonts w:ascii="Times New Roman" w:hAnsi="Times New Roman" w:cs="Times New Roman"/>
          <w:sz w:val="24"/>
          <w:szCs w:val="24"/>
        </w:rPr>
        <w:t>211 Sower Boulevard, Post Office Box 615</w:t>
      </w:r>
      <w:r w:rsidR="00184BEB">
        <w:rPr>
          <w:rFonts w:ascii="Times New Roman" w:hAnsi="Times New Roman" w:cs="Times New Roman"/>
          <w:sz w:val="24"/>
          <w:szCs w:val="24"/>
        </w:rPr>
        <w:t xml:space="preserve">, </w:t>
      </w:r>
      <w:r w:rsidR="00184BEB" w:rsidRPr="00D45F51">
        <w:rPr>
          <w:rFonts w:ascii="Times New Roman" w:hAnsi="Times New Roman" w:cs="Times New Roman"/>
          <w:sz w:val="24"/>
          <w:szCs w:val="24"/>
        </w:rPr>
        <w:t>Frankfort, Kentucky</w:t>
      </w:r>
      <w:r w:rsidR="00184BEB">
        <w:rPr>
          <w:rFonts w:ascii="Times New Roman" w:hAnsi="Times New Roman" w:cs="Times New Roman"/>
          <w:sz w:val="24"/>
          <w:szCs w:val="24"/>
        </w:rPr>
        <w:t xml:space="preserve"> 40602</w:t>
      </w:r>
      <w:r w:rsidR="003D1867">
        <w:rPr>
          <w:rFonts w:ascii="Times New Roman" w:hAnsi="Times New Roman" w:cs="Times New Roman"/>
          <w:sz w:val="24"/>
          <w:szCs w:val="24"/>
        </w:rPr>
        <w:t xml:space="preserve">, </w:t>
      </w:r>
      <w:r w:rsidR="00567091" w:rsidRPr="00D45F51">
        <w:rPr>
          <w:rFonts w:ascii="Times New Roman" w:hAnsi="Times New Roman" w:cs="Times New Roman"/>
          <w:sz w:val="24"/>
          <w:szCs w:val="24"/>
        </w:rPr>
        <w:t xml:space="preserve">establishing the grounds for the request including the status and interest of the party.  </w:t>
      </w:r>
      <w:r w:rsidR="003D1867">
        <w:rPr>
          <w:rFonts w:ascii="Times New Roman" w:hAnsi="Times New Roman" w:cs="Times New Roman"/>
          <w:sz w:val="24"/>
          <w:szCs w:val="24"/>
        </w:rPr>
        <w:t xml:space="preserve">The KPSC’s phone number is </w:t>
      </w:r>
      <w:r w:rsidR="003D1867" w:rsidRPr="006836B1">
        <w:rPr>
          <w:rFonts w:ascii="Times New Roman" w:hAnsi="Times New Roman" w:cs="Times New Roman"/>
          <w:sz w:val="24"/>
          <w:szCs w:val="24"/>
        </w:rPr>
        <w:t>(502) 564-3940</w:t>
      </w:r>
      <w:r w:rsidR="003D1867">
        <w:rPr>
          <w:rFonts w:ascii="Times New Roman" w:hAnsi="Times New Roman" w:cs="Times New Roman"/>
          <w:sz w:val="24"/>
          <w:szCs w:val="24"/>
        </w:rPr>
        <w:t xml:space="preserve"> and its website is </w:t>
      </w:r>
      <w:r w:rsidR="003D1867" w:rsidRPr="003D1867">
        <w:rPr>
          <w:rFonts w:ascii="Times New Roman" w:hAnsi="Times New Roman" w:cs="Times New Roman"/>
          <w:sz w:val="24"/>
          <w:szCs w:val="24"/>
        </w:rPr>
        <w:t>http://psc.ky.gov</w:t>
      </w:r>
      <w:r w:rsidR="003D1867">
        <w:rPr>
          <w:rFonts w:ascii="Times New Roman" w:hAnsi="Times New Roman" w:cs="Times New Roman"/>
          <w:sz w:val="24"/>
          <w:szCs w:val="24"/>
        </w:rPr>
        <w:t xml:space="preserve">.  </w:t>
      </w:r>
      <w:r w:rsidR="002C0E53">
        <w:rPr>
          <w:rFonts w:ascii="Times New Roman" w:hAnsi="Times New Roman" w:cs="Times New Roman"/>
          <w:sz w:val="24"/>
          <w:szCs w:val="24"/>
        </w:rPr>
        <w:t xml:space="preserve">The </w:t>
      </w:r>
      <w:r w:rsidR="003E385F" w:rsidRPr="0044373D">
        <w:rPr>
          <w:rFonts w:ascii="Times New Roman" w:hAnsi="Times New Roman" w:cs="Times New Roman"/>
          <w:sz w:val="24"/>
          <w:szCs w:val="24"/>
        </w:rPr>
        <w:t>KPSC</w:t>
      </w:r>
      <w:r w:rsidR="002C0E53">
        <w:rPr>
          <w:rFonts w:ascii="Times New Roman" w:hAnsi="Times New Roman" w:cs="Times New Roman"/>
          <w:sz w:val="24"/>
          <w:szCs w:val="24"/>
        </w:rPr>
        <w:t xml:space="preserve"> is required to take action on </w:t>
      </w:r>
      <w:r w:rsidR="00FF513B">
        <w:rPr>
          <w:rFonts w:ascii="Times New Roman" w:hAnsi="Times New Roman" w:cs="Times New Roman"/>
          <w:sz w:val="24"/>
          <w:szCs w:val="24"/>
        </w:rPr>
        <w:t>Shelby Energy’s</w:t>
      </w:r>
      <w:r w:rsidR="002C0E53">
        <w:rPr>
          <w:rFonts w:ascii="Times New Roman" w:hAnsi="Times New Roman" w:cs="Times New Roman"/>
          <w:sz w:val="24"/>
          <w:szCs w:val="24"/>
        </w:rPr>
        <w:t xml:space="preserve"> application within 75 days of its filing.  </w:t>
      </w:r>
      <w:r w:rsidR="001D01DD" w:rsidRPr="002B2104">
        <w:rPr>
          <w:rFonts w:ascii="Times New Roman" w:hAnsi="Times New Roman" w:cs="Times New Roman"/>
          <w:sz w:val="24"/>
          <w:szCs w:val="24"/>
        </w:rPr>
        <w:t>The rates contained in this notice are the rates proposed by</w:t>
      </w:r>
      <w:r w:rsidR="00303737">
        <w:rPr>
          <w:rFonts w:ascii="Times New Roman" w:hAnsi="Times New Roman" w:cs="Times New Roman"/>
          <w:sz w:val="24"/>
          <w:szCs w:val="24"/>
        </w:rPr>
        <w:t xml:space="preserve"> </w:t>
      </w:r>
      <w:r w:rsidR="00FF513B">
        <w:rPr>
          <w:rFonts w:ascii="Times New Roman" w:hAnsi="Times New Roman" w:cs="Times New Roman"/>
          <w:sz w:val="24"/>
          <w:szCs w:val="24"/>
        </w:rPr>
        <w:t>Shelby Energy</w:t>
      </w:r>
      <w:r w:rsidR="001D01DD" w:rsidRPr="002B2104">
        <w:rPr>
          <w:rFonts w:ascii="Times New Roman" w:hAnsi="Times New Roman" w:cs="Times New Roman"/>
          <w:sz w:val="24"/>
          <w:szCs w:val="24"/>
        </w:rPr>
        <w:t xml:space="preserve"> but the </w:t>
      </w:r>
      <w:r w:rsidR="003E385F" w:rsidRPr="0044373D">
        <w:rPr>
          <w:rFonts w:ascii="Times New Roman" w:hAnsi="Times New Roman" w:cs="Times New Roman"/>
          <w:sz w:val="24"/>
          <w:szCs w:val="24"/>
        </w:rPr>
        <w:t>KPSC</w:t>
      </w:r>
      <w:r w:rsidR="001D01DD" w:rsidRPr="002B2104">
        <w:rPr>
          <w:rFonts w:ascii="Times New Roman" w:hAnsi="Times New Roman" w:cs="Times New Roman"/>
          <w:sz w:val="24"/>
          <w:szCs w:val="24"/>
        </w:rPr>
        <w:t xml:space="preserve"> may order rates to be charged that differ from the proposed rates contained in this notice.</w:t>
      </w:r>
      <w:r w:rsidR="001D01DD" w:rsidRPr="00D45F51">
        <w:rPr>
          <w:rFonts w:ascii="Times New Roman" w:hAnsi="Times New Roman" w:cs="Times New Roman"/>
          <w:sz w:val="24"/>
          <w:szCs w:val="24"/>
        </w:rPr>
        <w:t xml:space="preserve">  </w:t>
      </w:r>
      <w:r w:rsidR="001D01DD" w:rsidRPr="00D45F51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3"/>
      <w:r w:rsidR="001D01DD" w:rsidRPr="00D45F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353B" w:rsidRPr="00D45F51" w:rsidSect="00B22B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64"/>
    <w:rsid w:val="00000745"/>
    <w:rsid w:val="00001157"/>
    <w:rsid w:val="00003597"/>
    <w:rsid w:val="0001158C"/>
    <w:rsid w:val="00014D89"/>
    <w:rsid w:val="00033C40"/>
    <w:rsid w:val="00035333"/>
    <w:rsid w:val="000470E3"/>
    <w:rsid w:val="00055795"/>
    <w:rsid w:val="00062CB0"/>
    <w:rsid w:val="00067A2A"/>
    <w:rsid w:val="00082891"/>
    <w:rsid w:val="000E3D7F"/>
    <w:rsid w:val="001050A4"/>
    <w:rsid w:val="001063D1"/>
    <w:rsid w:val="001077E3"/>
    <w:rsid w:val="001211BF"/>
    <w:rsid w:val="00143A86"/>
    <w:rsid w:val="00184BEB"/>
    <w:rsid w:val="0018516D"/>
    <w:rsid w:val="001B340D"/>
    <w:rsid w:val="001B5151"/>
    <w:rsid w:val="001D01DD"/>
    <w:rsid w:val="001D5ADA"/>
    <w:rsid w:val="001E66C4"/>
    <w:rsid w:val="001F57F7"/>
    <w:rsid w:val="00216D43"/>
    <w:rsid w:val="00266156"/>
    <w:rsid w:val="002A04EF"/>
    <w:rsid w:val="002B2104"/>
    <w:rsid w:val="002C0E53"/>
    <w:rsid w:val="002F58DE"/>
    <w:rsid w:val="002F760F"/>
    <w:rsid w:val="00303737"/>
    <w:rsid w:val="0030556A"/>
    <w:rsid w:val="003320BE"/>
    <w:rsid w:val="003367B7"/>
    <w:rsid w:val="00342B42"/>
    <w:rsid w:val="0037664F"/>
    <w:rsid w:val="00385AEB"/>
    <w:rsid w:val="003910E2"/>
    <w:rsid w:val="003A538B"/>
    <w:rsid w:val="003B12F4"/>
    <w:rsid w:val="003D1867"/>
    <w:rsid w:val="003E385F"/>
    <w:rsid w:val="003F5E90"/>
    <w:rsid w:val="00402681"/>
    <w:rsid w:val="00406437"/>
    <w:rsid w:val="00435B4A"/>
    <w:rsid w:val="0044373D"/>
    <w:rsid w:val="00452583"/>
    <w:rsid w:val="0048073A"/>
    <w:rsid w:val="004A512D"/>
    <w:rsid w:val="004B5F7C"/>
    <w:rsid w:val="004C6011"/>
    <w:rsid w:val="004D195C"/>
    <w:rsid w:val="004E6128"/>
    <w:rsid w:val="00504CF4"/>
    <w:rsid w:val="0050631F"/>
    <w:rsid w:val="005064BD"/>
    <w:rsid w:val="005229CA"/>
    <w:rsid w:val="00535A36"/>
    <w:rsid w:val="005366C3"/>
    <w:rsid w:val="00543616"/>
    <w:rsid w:val="00543C3B"/>
    <w:rsid w:val="00567091"/>
    <w:rsid w:val="00594EB5"/>
    <w:rsid w:val="005C7242"/>
    <w:rsid w:val="005D5E24"/>
    <w:rsid w:val="005F596B"/>
    <w:rsid w:val="00621633"/>
    <w:rsid w:val="0066444E"/>
    <w:rsid w:val="0067558F"/>
    <w:rsid w:val="006836B1"/>
    <w:rsid w:val="006B73D2"/>
    <w:rsid w:val="006C6D75"/>
    <w:rsid w:val="006E3DF6"/>
    <w:rsid w:val="006F309E"/>
    <w:rsid w:val="006F6247"/>
    <w:rsid w:val="00705EC7"/>
    <w:rsid w:val="00746B7B"/>
    <w:rsid w:val="007651CE"/>
    <w:rsid w:val="007663E8"/>
    <w:rsid w:val="00782D7D"/>
    <w:rsid w:val="00783FA8"/>
    <w:rsid w:val="007A74F5"/>
    <w:rsid w:val="007B0637"/>
    <w:rsid w:val="007C4D01"/>
    <w:rsid w:val="007D2789"/>
    <w:rsid w:val="007D5E16"/>
    <w:rsid w:val="007E6407"/>
    <w:rsid w:val="0082240E"/>
    <w:rsid w:val="00836611"/>
    <w:rsid w:val="008562BE"/>
    <w:rsid w:val="00881444"/>
    <w:rsid w:val="008B6375"/>
    <w:rsid w:val="008C07F8"/>
    <w:rsid w:val="008E5020"/>
    <w:rsid w:val="0092518B"/>
    <w:rsid w:val="00967296"/>
    <w:rsid w:val="009768DE"/>
    <w:rsid w:val="009D11B9"/>
    <w:rsid w:val="00A12ADD"/>
    <w:rsid w:val="00A17A6F"/>
    <w:rsid w:val="00A221DA"/>
    <w:rsid w:val="00A41502"/>
    <w:rsid w:val="00A46443"/>
    <w:rsid w:val="00A66666"/>
    <w:rsid w:val="00A95371"/>
    <w:rsid w:val="00AB303A"/>
    <w:rsid w:val="00AB54D4"/>
    <w:rsid w:val="00AE321B"/>
    <w:rsid w:val="00B043FC"/>
    <w:rsid w:val="00B22B8E"/>
    <w:rsid w:val="00B2434E"/>
    <w:rsid w:val="00B72880"/>
    <w:rsid w:val="00B72F9A"/>
    <w:rsid w:val="00B74F66"/>
    <w:rsid w:val="00B95452"/>
    <w:rsid w:val="00BA38AC"/>
    <w:rsid w:val="00BE154A"/>
    <w:rsid w:val="00C12D64"/>
    <w:rsid w:val="00C529A0"/>
    <w:rsid w:val="00C65ECF"/>
    <w:rsid w:val="00C677B0"/>
    <w:rsid w:val="00C84E04"/>
    <w:rsid w:val="00C96786"/>
    <w:rsid w:val="00CA3530"/>
    <w:rsid w:val="00CC5365"/>
    <w:rsid w:val="00CD7771"/>
    <w:rsid w:val="00CE44E9"/>
    <w:rsid w:val="00D215A2"/>
    <w:rsid w:val="00D217FD"/>
    <w:rsid w:val="00D261AA"/>
    <w:rsid w:val="00D34514"/>
    <w:rsid w:val="00D45F51"/>
    <w:rsid w:val="00D566A3"/>
    <w:rsid w:val="00D82DB7"/>
    <w:rsid w:val="00D94170"/>
    <w:rsid w:val="00DB5226"/>
    <w:rsid w:val="00DC5740"/>
    <w:rsid w:val="00DD4DB1"/>
    <w:rsid w:val="00DD5BA6"/>
    <w:rsid w:val="00DF2CE2"/>
    <w:rsid w:val="00DF77AB"/>
    <w:rsid w:val="00E21244"/>
    <w:rsid w:val="00E53AEA"/>
    <w:rsid w:val="00E54AF6"/>
    <w:rsid w:val="00E576C2"/>
    <w:rsid w:val="00E60AEA"/>
    <w:rsid w:val="00EB3023"/>
    <w:rsid w:val="00EB6DB0"/>
    <w:rsid w:val="00EE029D"/>
    <w:rsid w:val="00EF404E"/>
    <w:rsid w:val="00F10E40"/>
    <w:rsid w:val="00F47BF4"/>
    <w:rsid w:val="00F5793F"/>
    <w:rsid w:val="00F61493"/>
    <w:rsid w:val="00F810A9"/>
    <w:rsid w:val="00F84010"/>
    <w:rsid w:val="00FB5965"/>
    <w:rsid w:val="00FD7CFE"/>
    <w:rsid w:val="00FF284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6C0C"/>
  <w15:docId w15:val="{DFCC4943-9A30-4B09-9CF6-02D0662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1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1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H Koenig</dc:creator>
  <cp:lastModifiedBy>John Wolfram</cp:lastModifiedBy>
  <cp:revision>6</cp:revision>
  <cp:lastPrinted>2019-03-15T15:35:00Z</cp:lastPrinted>
  <dcterms:created xsi:type="dcterms:W3CDTF">2023-07-28T18:08:00Z</dcterms:created>
  <dcterms:modified xsi:type="dcterms:W3CDTF">2023-07-28T18:11:00Z</dcterms:modified>
</cp:coreProperties>
</file>